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029" w:rsidRDefault="00A85029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A85029" w:rsidRDefault="00A85029">
      <w:pPr>
        <w:pStyle w:val="ConsPlusNormal"/>
        <w:outlineLvl w:val="0"/>
      </w:pPr>
    </w:p>
    <w:p w:rsidR="00A85029" w:rsidRDefault="00A85029">
      <w:pPr>
        <w:pStyle w:val="ConsPlusTitle"/>
        <w:jc w:val="center"/>
        <w:outlineLvl w:val="0"/>
      </w:pPr>
      <w:r>
        <w:t xml:space="preserve">ДУМА ГОРОДСКОГО </w:t>
      </w:r>
      <w:proofErr w:type="gramStart"/>
      <w:r>
        <w:t>ОКРУГА</w:t>
      </w:r>
      <w:proofErr w:type="gramEnd"/>
      <w:r>
        <w:t xml:space="preserve"> ЗАТО БОЛЬШОЙ КАМЕНЬ</w:t>
      </w:r>
    </w:p>
    <w:p w:rsidR="00A85029" w:rsidRDefault="00A85029">
      <w:pPr>
        <w:pStyle w:val="ConsPlusTitle"/>
        <w:jc w:val="center"/>
      </w:pPr>
    </w:p>
    <w:p w:rsidR="00A85029" w:rsidRDefault="00A85029">
      <w:pPr>
        <w:pStyle w:val="ConsPlusTitle"/>
        <w:jc w:val="center"/>
      </w:pPr>
      <w:r>
        <w:t>РЕШЕНИЕ</w:t>
      </w:r>
    </w:p>
    <w:p w:rsidR="00A85029" w:rsidRDefault="00A85029">
      <w:pPr>
        <w:pStyle w:val="ConsPlusTitle"/>
        <w:jc w:val="center"/>
      </w:pPr>
      <w:r>
        <w:t>от 26 июля 2007 г. N 45</w:t>
      </w:r>
    </w:p>
    <w:p w:rsidR="00A85029" w:rsidRDefault="00A85029">
      <w:pPr>
        <w:pStyle w:val="ConsPlusTitle"/>
        <w:jc w:val="center"/>
      </w:pPr>
    </w:p>
    <w:p w:rsidR="00A85029" w:rsidRDefault="00A85029">
      <w:pPr>
        <w:pStyle w:val="ConsPlusTitle"/>
        <w:jc w:val="center"/>
      </w:pPr>
      <w:r>
        <w:t xml:space="preserve">О ВНЕСЕНИИ ИЗМЕНЕНИЙ В РЕШЕНИЕ </w:t>
      </w:r>
      <w:proofErr w:type="gramStart"/>
      <w:r>
        <w:t>ДУМЫ</w:t>
      </w:r>
      <w:proofErr w:type="gramEnd"/>
      <w:r>
        <w:t xml:space="preserve"> ЗАТО Г.</w:t>
      </w:r>
    </w:p>
    <w:p w:rsidR="00A85029" w:rsidRDefault="00A85029">
      <w:pPr>
        <w:pStyle w:val="ConsPlusTitle"/>
        <w:jc w:val="center"/>
      </w:pPr>
      <w:r>
        <w:t>БОЛЬШОЙ КАМЕНЬ ОТ 29.03.2005 N 246-Р "ОБ УТВЕРЖДЕНИИ</w:t>
      </w:r>
    </w:p>
    <w:p w:rsidR="00A85029" w:rsidRDefault="00A85029">
      <w:pPr>
        <w:pStyle w:val="ConsPlusTitle"/>
        <w:jc w:val="center"/>
      </w:pPr>
      <w:r>
        <w:t>ПОЛОЖЕНИЯ О ПОРЯДКЕ ИСПОЛЬЗОВАНИЯ ОФИЦИАЛЬНЫХ СИМВОЛОВ</w:t>
      </w:r>
    </w:p>
    <w:p w:rsidR="00A85029" w:rsidRDefault="00A85029">
      <w:pPr>
        <w:pStyle w:val="ConsPlusTitle"/>
        <w:jc w:val="center"/>
      </w:pPr>
      <w:r>
        <w:t xml:space="preserve">ГОРОДСКОГО ОКРУГА </w:t>
      </w:r>
      <w:proofErr w:type="gramStart"/>
      <w:r>
        <w:t>ЗАКРЫТОЕ</w:t>
      </w:r>
      <w:proofErr w:type="gramEnd"/>
      <w:r>
        <w:t xml:space="preserve"> АДМИНИСТРАТИВНО-ТЕРРИТОРИАЛЬНОЕ</w:t>
      </w:r>
    </w:p>
    <w:p w:rsidR="00A85029" w:rsidRDefault="00A85029">
      <w:pPr>
        <w:pStyle w:val="ConsPlusTitle"/>
        <w:jc w:val="center"/>
      </w:pPr>
      <w:r>
        <w:t>ОБРАЗОВАНИЕ БОЛЬШОЙ КАМЕНЬ ПРИМОРСКОГО КРАЯ"</w:t>
      </w:r>
    </w:p>
    <w:p w:rsidR="00A85029" w:rsidRDefault="00A85029">
      <w:pPr>
        <w:pStyle w:val="ConsPlusNormal"/>
        <w:ind w:firstLine="540"/>
        <w:jc w:val="both"/>
      </w:pPr>
    </w:p>
    <w:p w:rsidR="00A85029" w:rsidRDefault="00A85029">
      <w:pPr>
        <w:pStyle w:val="ConsPlusNormal"/>
        <w:ind w:firstLine="540"/>
        <w:jc w:val="both"/>
      </w:pPr>
      <w:r>
        <w:t xml:space="preserve">В целях приведения в соответствие с действующим законодательством, руководствуясь </w:t>
      </w:r>
      <w:hyperlink r:id="rId6" w:history="1">
        <w:r>
          <w:rPr>
            <w:color w:val="0000FF"/>
          </w:rPr>
          <w:t>ст. 21</w:t>
        </w:r>
      </w:hyperlink>
      <w:r>
        <w:t xml:space="preserve"> Устава городского </w:t>
      </w:r>
      <w:proofErr w:type="gramStart"/>
      <w:r>
        <w:t>округа</w:t>
      </w:r>
      <w:proofErr w:type="gramEnd"/>
      <w:r>
        <w:t xml:space="preserve"> ЗАТО Большой Камень, Дума городского округа ЗАТО Большой Камень решила: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7" w:history="1">
        <w:r>
          <w:rPr>
            <w:color w:val="0000FF"/>
          </w:rPr>
          <w:t>решение</w:t>
        </w:r>
      </w:hyperlink>
      <w:r>
        <w:t xml:space="preserve"> </w:t>
      </w:r>
      <w:proofErr w:type="gramStart"/>
      <w:r>
        <w:t>Думы</w:t>
      </w:r>
      <w:proofErr w:type="gramEnd"/>
      <w:r>
        <w:t xml:space="preserve"> ЗАТО г. Большой Камень от 29.03.2005 N 246-Р "Об утверждении Положения о порядке использования официальных символов городского округа закрытое административно-территориальное образование Большой Камень Приморского края" следующие изменения: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 xml:space="preserve">1) </w:t>
      </w:r>
      <w:hyperlink r:id="rId8" w:history="1">
        <w:r>
          <w:rPr>
            <w:color w:val="0000FF"/>
          </w:rPr>
          <w:t>наименование</w:t>
        </w:r>
      </w:hyperlink>
      <w:r>
        <w:t xml:space="preserve"> решения читать в следующей редакции: "Об утверждении Положения о порядке использования официальных символов городского </w:t>
      </w:r>
      <w:proofErr w:type="gramStart"/>
      <w:r>
        <w:t>округа</w:t>
      </w:r>
      <w:proofErr w:type="gramEnd"/>
      <w:r>
        <w:t xml:space="preserve"> ЗАТО Большой Камень";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 xml:space="preserve">2) </w:t>
      </w:r>
      <w:hyperlink r:id="rId9" w:history="1">
        <w:r>
          <w:rPr>
            <w:color w:val="0000FF"/>
          </w:rPr>
          <w:t>приложения 1</w:t>
        </w:r>
      </w:hyperlink>
      <w:r>
        <w:t xml:space="preserve"> и </w:t>
      </w:r>
      <w:hyperlink r:id="rId10" w:history="1">
        <w:r>
          <w:rPr>
            <w:color w:val="0000FF"/>
          </w:rPr>
          <w:t>2</w:t>
        </w:r>
      </w:hyperlink>
      <w:r>
        <w:t xml:space="preserve"> изложить в новой редакции (прилагаются).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 xml:space="preserve">2. Опубликовать настоящее решение в газете "ЗАТО" в порядке, установленном Уставом городского </w:t>
      </w:r>
      <w:proofErr w:type="gramStart"/>
      <w:r>
        <w:t>округа</w:t>
      </w:r>
      <w:proofErr w:type="gramEnd"/>
      <w:r>
        <w:t xml:space="preserve"> ЗАТО Большой Камень.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>3. Настоящее решение вступает в силу со дня его официального опубликования.</w:t>
      </w:r>
    </w:p>
    <w:p w:rsidR="00A85029" w:rsidRDefault="00A85029">
      <w:pPr>
        <w:pStyle w:val="ConsPlusNormal"/>
        <w:ind w:firstLine="540"/>
        <w:jc w:val="both"/>
      </w:pPr>
    </w:p>
    <w:p w:rsidR="00A85029" w:rsidRDefault="00A85029">
      <w:pPr>
        <w:pStyle w:val="ConsPlusNormal"/>
        <w:jc w:val="right"/>
      </w:pPr>
      <w:r>
        <w:t>Глава городского округа</w:t>
      </w:r>
    </w:p>
    <w:p w:rsidR="00A85029" w:rsidRDefault="00A85029">
      <w:pPr>
        <w:pStyle w:val="ConsPlusNormal"/>
        <w:jc w:val="right"/>
      </w:pPr>
      <w:r>
        <w:t>В.Г.ХАЛЯВКО</w:t>
      </w:r>
    </w:p>
    <w:p w:rsidR="00A85029" w:rsidRDefault="00A85029">
      <w:pPr>
        <w:pStyle w:val="ConsPlusNormal"/>
        <w:ind w:firstLine="540"/>
        <w:jc w:val="both"/>
      </w:pPr>
    </w:p>
    <w:p w:rsidR="00A85029" w:rsidRDefault="00A85029">
      <w:pPr>
        <w:pStyle w:val="ConsPlusNormal"/>
        <w:ind w:firstLine="540"/>
        <w:jc w:val="both"/>
      </w:pPr>
    </w:p>
    <w:p w:rsidR="00A85029" w:rsidRDefault="00A85029">
      <w:pPr>
        <w:pStyle w:val="ConsPlusNormal"/>
        <w:ind w:firstLine="540"/>
        <w:jc w:val="both"/>
      </w:pPr>
    </w:p>
    <w:p w:rsidR="00A85029" w:rsidRDefault="00A85029">
      <w:pPr>
        <w:pStyle w:val="ConsPlusNormal"/>
        <w:ind w:firstLine="540"/>
        <w:jc w:val="both"/>
      </w:pPr>
    </w:p>
    <w:p w:rsidR="00A85029" w:rsidRDefault="00A85029">
      <w:pPr>
        <w:pStyle w:val="ConsPlusNormal"/>
        <w:ind w:firstLine="540"/>
        <w:jc w:val="both"/>
      </w:pPr>
    </w:p>
    <w:p w:rsidR="00A85029" w:rsidRDefault="00A85029">
      <w:pPr>
        <w:pStyle w:val="ConsPlusNormal"/>
        <w:jc w:val="right"/>
        <w:outlineLvl w:val="0"/>
      </w:pPr>
      <w:r>
        <w:t>Приложение 1</w:t>
      </w:r>
    </w:p>
    <w:p w:rsidR="00A85029" w:rsidRDefault="00A85029">
      <w:pPr>
        <w:pStyle w:val="ConsPlusNormal"/>
        <w:jc w:val="right"/>
      </w:pPr>
      <w:r>
        <w:t>к решению</w:t>
      </w:r>
    </w:p>
    <w:p w:rsidR="00A85029" w:rsidRDefault="00A85029">
      <w:pPr>
        <w:pStyle w:val="ConsPlusNormal"/>
        <w:jc w:val="right"/>
      </w:pPr>
      <w:r>
        <w:t>Думы городского округа</w:t>
      </w:r>
    </w:p>
    <w:p w:rsidR="00A85029" w:rsidRDefault="00A85029">
      <w:pPr>
        <w:pStyle w:val="ConsPlusNormal"/>
        <w:jc w:val="right"/>
      </w:pPr>
      <w:r>
        <w:t>ЗАТО Большой Камень</w:t>
      </w:r>
    </w:p>
    <w:p w:rsidR="00A85029" w:rsidRDefault="00A85029">
      <w:pPr>
        <w:pStyle w:val="ConsPlusNormal"/>
        <w:jc w:val="right"/>
      </w:pPr>
      <w:r>
        <w:t>от 26.07.2007 N 45</w:t>
      </w:r>
    </w:p>
    <w:p w:rsidR="00A85029" w:rsidRDefault="00A85029">
      <w:pPr>
        <w:pStyle w:val="ConsPlusNormal"/>
        <w:ind w:firstLine="540"/>
        <w:jc w:val="both"/>
      </w:pPr>
    </w:p>
    <w:p w:rsidR="00A85029" w:rsidRDefault="00A85029">
      <w:pPr>
        <w:pStyle w:val="ConsPlusTitle"/>
        <w:jc w:val="center"/>
      </w:pPr>
      <w:r>
        <w:t>ПОЛОЖЕНИЕ</w:t>
      </w:r>
    </w:p>
    <w:p w:rsidR="00A85029" w:rsidRDefault="00A85029">
      <w:pPr>
        <w:pStyle w:val="ConsPlusTitle"/>
        <w:jc w:val="center"/>
      </w:pPr>
      <w:r>
        <w:t>О ПОРЯДКЕ ИСПОЛЬЗОВАНИЯ ОФИЦИАЛЬНЫХ СИМВОЛОВ</w:t>
      </w:r>
    </w:p>
    <w:p w:rsidR="00A85029" w:rsidRDefault="00A85029">
      <w:pPr>
        <w:pStyle w:val="ConsPlusTitle"/>
        <w:jc w:val="center"/>
      </w:pPr>
      <w:r>
        <w:t xml:space="preserve">ГОРОДСКОГО </w:t>
      </w:r>
      <w:proofErr w:type="gramStart"/>
      <w:r>
        <w:t>ОКРУГА</w:t>
      </w:r>
      <w:proofErr w:type="gramEnd"/>
      <w:r>
        <w:t xml:space="preserve"> ЗАТО БОЛЬШОЙ КАМЕНЬ</w:t>
      </w:r>
    </w:p>
    <w:p w:rsidR="00A85029" w:rsidRDefault="00A85029">
      <w:pPr>
        <w:pStyle w:val="ConsPlusNormal"/>
        <w:ind w:firstLine="540"/>
        <w:jc w:val="both"/>
      </w:pPr>
    </w:p>
    <w:p w:rsidR="00A85029" w:rsidRDefault="00A85029">
      <w:pPr>
        <w:pStyle w:val="ConsPlusNormal"/>
        <w:ind w:firstLine="540"/>
        <w:jc w:val="both"/>
        <w:outlineLvl w:val="1"/>
      </w:pPr>
      <w:r>
        <w:t>Статья 1. Общие положения</w:t>
      </w:r>
    </w:p>
    <w:p w:rsidR="00A85029" w:rsidRDefault="00A85029">
      <w:pPr>
        <w:pStyle w:val="ConsPlusNormal"/>
        <w:ind w:firstLine="540"/>
        <w:jc w:val="both"/>
      </w:pPr>
    </w:p>
    <w:p w:rsidR="00A85029" w:rsidRDefault="00A85029">
      <w:pPr>
        <w:pStyle w:val="ConsPlusNormal"/>
        <w:ind w:firstLine="540"/>
        <w:jc w:val="both"/>
      </w:pPr>
      <w:r>
        <w:t>1. В настоящем положении используются следующие понятия и термины: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 xml:space="preserve">герб и флаг городского </w:t>
      </w:r>
      <w:proofErr w:type="gramStart"/>
      <w:r>
        <w:t>округа</w:t>
      </w:r>
      <w:proofErr w:type="gramEnd"/>
      <w:r>
        <w:t xml:space="preserve"> ЗАТО Большой Камень (далее - городской округ) - </w:t>
      </w:r>
      <w:r>
        <w:lastRenderedPageBreak/>
        <w:t>официальные символы городского округа ЗАТО Большой Камень, обозначающие его конституционно-правовой статус, единство жителей города, культурное достояние жителей городского округа, его место в жизни края, природные и исторические особенности;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>официальное использование символики городского округа - установленный настоящим положением порядок использования герба и флага городского округа в целях придания официального статуса документам, актам органов местного самоуправления, деятельности должностных лиц местного самоуправления.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>2. Герб и флаг городского округа являются символами городского округа, воспитывающими патриотическое чувство его жителей и уважение к истории города.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>3. Жители городского округа, а также иные лица, находящиеся на территории городского округа, обязаны уважать официальные символы городского округа.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>4. Эталоном герба и флага является геральдическое описание. Описание официальных символов городского округа составляется с использованием особой геральдической терминологии.</w:t>
      </w:r>
    </w:p>
    <w:p w:rsidR="00A85029" w:rsidRDefault="00A85029">
      <w:pPr>
        <w:pStyle w:val="ConsPlusNormal"/>
        <w:ind w:firstLine="540"/>
        <w:jc w:val="both"/>
      </w:pPr>
    </w:p>
    <w:p w:rsidR="00A85029" w:rsidRDefault="00A85029">
      <w:pPr>
        <w:pStyle w:val="ConsPlusNormal"/>
        <w:ind w:firstLine="540"/>
        <w:jc w:val="both"/>
        <w:outlineLvl w:val="1"/>
      </w:pPr>
      <w:r>
        <w:t>Статья 2. Описание официальных символов</w:t>
      </w:r>
    </w:p>
    <w:p w:rsidR="00A85029" w:rsidRDefault="00A85029">
      <w:pPr>
        <w:pStyle w:val="ConsPlusNormal"/>
        <w:ind w:firstLine="540"/>
        <w:jc w:val="both"/>
      </w:pPr>
    </w:p>
    <w:p w:rsidR="00A85029" w:rsidRDefault="00A85029">
      <w:pPr>
        <w:pStyle w:val="ConsPlusNormal"/>
        <w:ind w:firstLine="540"/>
        <w:jc w:val="both"/>
      </w:pPr>
      <w:r>
        <w:t xml:space="preserve">1. Геральдическое описание герба городского округа гласит: "На лазоревом (голубом) поле на трехлопастном судовом винте золотого цвета, центр которого </w:t>
      </w:r>
      <w:proofErr w:type="gramStart"/>
      <w:r>
        <w:t>заполнен</w:t>
      </w:r>
      <w:proofErr w:type="gramEnd"/>
      <w:r>
        <w:t xml:space="preserve"> черным цветом, прямо сидящая с распростертыми крыльями белая чайка с черным клювом, глазами и лапами, в оконечности - три белые узкие полосы. В полной версии - в правой верхней части помещается герб Приморского края".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>2. Щит герба городского округа является традиционным для российской геральдики, то есть представляет собой прямоугольник с закруглениями нижних углов и выступающим вниз острием в центре нижней грани. Пропорции щита - 8 к 9 (ширина к высоте).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>3. Цвет поля щита - лазурь или голубой, символизирующий цвета моря, на берегу которого расположен городской округ.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>4. Основная гербовая фигура на щите - прямо сидящая на трехлопастном судовом винте золотого цвета белая чайка с распростертыми крыльями: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>1) прямо сидящая белая чайка с распростертыми крыльями, клювом, глазами и лапами черного цвета - символ надежды и жизни;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 xml:space="preserve">2) судовой винт золотого цвета, образованный трехлопастным судовым винтом, центр которого заполнен черным цветом, - символизирует богатые традиции, историю военного и гражданского судоремонта и судостроения, которые являются основным производством в городском </w:t>
      </w:r>
      <w:proofErr w:type="gramStart"/>
      <w:r>
        <w:t>округе</w:t>
      </w:r>
      <w:proofErr w:type="gramEnd"/>
      <w:r>
        <w:t xml:space="preserve"> ЗАТО Большой Камень, что отличает его от других городов Приморского края.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>5. Три белые узкие полосы (пояса) в оконечности щита - условно обозначают волны и подчеркивают особое территориальное положение городского округа.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>6. Герб может воспроизводиться в двух равноправных версиях: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>1) полной - в правом верхнем углу герба городского округа изображается герб Приморского края;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 xml:space="preserve">2) </w:t>
      </w:r>
      <w:proofErr w:type="gramStart"/>
      <w:r>
        <w:t>упрощенной</w:t>
      </w:r>
      <w:proofErr w:type="gramEnd"/>
      <w:r>
        <w:t xml:space="preserve"> - без изображения герба Приморского края.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>7. Изображение герба всегда должно соответствовать его геральдическому описанию.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lastRenderedPageBreak/>
        <w:t>8. Допускается воспроизведение герба в одноцветном варианте, а также разного вида материалах и рельефах, в монументальн</w:t>
      </w:r>
      <w:proofErr w:type="gramStart"/>
      <w:r>
        <w:t>о-</w:t>
      </w:r>
      <w:proofErr w:type="gramEnd"/>
      <w:r>
        <w:t xml:space="preserve"> декоративной пластике при условии, что выбранный вид материала и техники не искажает знаков и символического содержания герба городского округа.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>9. Флаг городского округа представляет собой голубое (синее) полотнище прямоугольной формы с горизонтальными белыми полосами в нижней его части, с соотношением ширины к длине - 2:3, воспроизводящее в центре композицию гербового щита городского округа.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>Голубой (синий) цвет полотнища в геральдике ассоциируется с водой, чистым небом и означает мышление, добродетель, чистоту.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 xml:space="preserve">Обратная сторона полотнища зеркально воспроизводит </w:t>
      </w:r>
      <w:proofErr w:type="gramStart"/>
      <w:r>
        <w:t>лицевую</w:t>
      </w:r>
      <w:proofErr w:type="gramEnd"/>
      <w:r>
        <w:t>.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>10. Флаг независимо от размера должен соответствовать его описанию.</w:t>
      </w:r>
    </w:p>
    <w:p w:rsidR="00A85029" w:rsidRDefault="00A85029">
      <w:pPr>
        <w:pStyle w:val="ConsPlusNormal"/>
        <w:ind w:firstLine="540"/>
        <w:jc w:val="both"/>
      </w:pPr>
    </w:p>
    <w:p w:rsidR="00A85029" w:rsidRDefault="00A85029">
      <w:pPr>
        <w:pStyle w:val="ConsPlusNormal"/>
        <w:ind w:firstLine="540"/>
        <w:jc w:val="both"/>
        <w:outlineLvl w:val="1"/>
      </w:pPr>
      <w:r>
        <w:t>Статья 3. Порядок использования официальной символики</w:t>
      </w:r>
    </w:p>
    <w:p w:rsidR="00A85029" w:rsidRDefault="00A85029">
      <w:pPr>
        <w:pStyle w:val="ConsPlusNormal"/>
        <w:ind w:firstLine="540"/>
        <w:jc w:val="both"/>
      </w:pPr>
    </w:p>
    <w:p w:rsidR="00A85029" w:rsidRDefault="00A85029">
      <w:pPr>
        <w:pStyle w:val="ConsPlusNormal"/>
        <w:ind w:firstLine="540"/>
        <w:jc w:val="both"/>
      </w:pPr>
      <w:r>
        <w:t>1. Воспроизведение герба и флага городского округа, независимо от их размеров и техники исполнения, должно соответствовать их геральдическому описанию, приведенному в статье 2 настоящего Положения.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>Воспроизведение герба и флага городского округа допускается в многоцветном и одноцветном вариантах.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>2. Изображение герба городского округа помещается: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>1) на фасаде здания органов местного самоуправления городского округа, избирательной комиссии городского округа;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>2) в помещениях, в которых проводятся заседания органов местного самоуправления городского округа и избирательной комиссии городского округа;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>3) в служебных кабинетах руководителей органов местного самоуправления городского округа и избирательной комиссии городского округа;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>4) на печатях, штампах, бланках, вывесках органов местного самоуправления городского округа и избирательной комиссии городского округа;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>5) на значках депутатов Думы городского округа;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>6) на официальных изданиях органов местного самоуправления городского округа и избирательной комиссии городского округа;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>7) на знаках отличия, наградах органов местного самоуправления;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>8) на транспортных средствах органов местного самоуправления городского округа, избирательной комиссии городского округа и отдела внутренних дел городского округа;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>9) на указателях границ городского округа при въезде в него.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>3. Допускается использование изображения герба городского округа: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>1) на грамотах, приглашениях, удостоверениях, извещениях и иных официальных документах, выдаваемых органами местного самоуправления городского округа и избирательной комиссией городского округа;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lastRenderedPageBreak/>
        <w:t>2) при проведении муниципальных выборов и местного референдума в помещениях, занимаемых избирательными комиссиями;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>3) на бланках и печатях муниципальных учреждений и муниципальных предприятий;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>4) на краеведческих изданиях;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>5) в качестве праздничного оформления Дня города, городских фестивалей и других мероприятий;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>6) на визитных карточках руководителей органов местного самоуправления городского округа, председателя избирательной комиссии городского округа, депутатов Думы городского округа, муниципальных служащих;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>7) на сувенирной продукции (значках, проспектах, открытках и др.), изготавливаемой по заказу органов местного самоуправления городского округа и избирательной комиссии городского округа.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>4. Флаг городского округа устанавливается: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>1) на зданиях органов местного самоуправления городского округа, избирательной комиссии городского округа;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>2) в залах, в которых проводятся заседания Думы городского округа и администрации городского округа;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>3) в рабочих кабинетах руководителей органов местного самоуправления городского округа и избирательной комиссии городского округа;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>4) при проведении официальных физкультурно-оздоровительных и спортивных мероприятий на территории городского округа.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>5. Флаг городского округа может устанавливаться: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>1) в помещениях, занимаемых избирательными комиссиями при проведении муниципальных выборов и местного референдума;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>2) на зданиях общественных объединений, предприятий, учреждений и организаций независимо от форм собственности, а также на жилых домах.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>6. Допускается использование изображения флага городского округа: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>1) на сувенирной продукции (значках, проспектах, открытках и др.), изготавливаемой по заказу органов местного самоуправления городского округа и избирательной комиссии городского округа;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>2) на визитных карточках руководителей органов местного самоуправления городского округа, председателя избирательной комиссии городского округа, депутатов Думы городского округа, муниципальных служащих;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>3) на транспортных средствах органов местного самоуправления городского округа и избирательной комиссии городского округа.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>7. Флаг городского округа может быть поднят во время церемоний и торжественных мероприятий, проводимых органами местного самоуправления городского округа, избирательной комиссии городского округа, общественными объединениями, учреждениями, организациями и предприятиями независимо от форм собственности, а также во время семейных торжеств.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lastRenderedPageBreak/>
        <w:t>Флаг городского округа может выноситься во время проведения шествий на торжественных мероприятиях.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>8. Иные случаи использования герба и флага городского округа допускаются по согласованию с главой городского округа.</w:t>
      </w:r>
    </w:p>
    <w:p w:rsidR="00A85029" w:rsidRDefault="00A85029">
      <w:pPr>
        <w:pStyle w:val="ConsPlusNormal"/>
        <w:ind w:firstLine="540"/>
        <w:jc w:val="both"/>
      </w:pPr>
    </w:p>
    <w:p w:rsidR="00A85029" w:rsidRDefault="00A85029">
      <w:pPr>
        <w:pStyle w:val="ConsPlusNormal"/>
        <w:ind w:firstLine="540"/>
        <w:jc w:val="both"/>
        <w:outlineLvl w:val="1"/>
      </w:pPr>
      <w:r>
        <w:t>Статья 4. Условия размещения официальных символов</w:t>
      </w:r>
    </w:p>
    <w:p w:rsidR="00A85029" w:rsidRDefault="00A85029">
      <w:pPr>
        <w:pStyle w:val="ConsPlusNormal"/>
        <w:ind w:firstLine="540"/>
        <w:jc w:val="both"/>
      </w:pPr>
    </w:p>
    <w:p w:rsidR="00A85029" w:rsidRDefault="00A85029">
      <w:pPr>
        <w:pStyle w:val="ConsPlusNormal"/>
        <w:ind w:firstLine="540"/>
        <w:jc w:val="both"/>
      </w:pPr>
      <w:r>
        <w:t>1. Одновременное воспроизведение изображения гербов Российской Федерации, Приморского края и городского округа должно осуществляться при соблюдении следующих условий: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>1) размер герба городского округа не должен превышать размер гербов Российской Федерации и Приморского края;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>2) герб городского округа располагается справа от герба Приморского края, если стоять к ним лицом;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>3) при одновременном размещении нечетного числа гербов: герба Российской Федерации, герба Приморского края и герба городского округа, герб городского округа располагается правее центра, если стоять лицом к нему, герб Российской Федерации располагается в центре;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>4) герб городского округа не может быть размещен ниже других гербов;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>5) изображение герба городского округа должно быть исполнено в единой технике с изображениями других гербов.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>2. Одновременный подъем или одновременное воспроизведение изображения флага городского округа, флагов Российской Федерации и Приморского края должно осуществляться при соблюдении следующих условий: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>1) флаги должны быть одинакового размера;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>2) высота подъема флагов должна быть одинаковой;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>3) флаг городского округа располагается справа от флага Приморского края, если стоять к ним лицом;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>4) при одновременном размещении нечетного числа флагов: Российской Федерации, Приморского края, городского округа, флаг городского округа располагается справа от центра, если стоять лицом к ним.</w:t>
      </w:r>
    </w:p>
    <w:p w:rsidR="00A85029" w:rsidRDefault="00A85029">
      <w:pPr>
        <w:pStyle w:val="ConsPlusNormal"/>
        <w:spacing w:before="220"/>
        <w:ind w:firstLine="540"/>
        <w:jc w:val="both"/>
      </w:pPr>
      <w:r>
        <w:t>В дни траура в верхней части древка флага городского округа крепится черная лента, длина которой равна длине полотнища флага.</w:t>
      </w:r>
    </w:p>
    <w:p w:rsidR="00A85029" w:rsidRDefault="00A85029">
      <w:pPr>
        <w:pStyle w:val="ConsPlusNormal"/>
        <w:ind w:firstLine="540"/>
        <w:jc w:val="both"/>
      </w:pPr>
    </w:p>
    <w:p w:rsidR="00A85029" w:rsidRDefault="00A85029">
      <w:pPr>
        <w:pStyle w:val="ConsPlusNormal"/>
        <w:ind w:firstLine="540"/>
        <w:jc w:val="both"/>
        <w:outlineLvl w:val="1"/>
      </w:pPr>
      <w:r>
        <w:t>Статья 5. Изготовление, использование, хранение и уничтожение бланков и печатей с воспроизведением официальных символов</w:t>
      </w:r>
    </w:p>
    <w:p w:rsidR="00A85029" w:rsidRDefault="00A85029">
      <w:pPr>
        <w:pStyle w:val="ConsPlusNormal"/>
        <w:ind w:firstLine="540"/>
        <w:jc w:val="both"/>
      </w:pPr>
    </w:p>
    <w:p w:rsidR="00A85029" w:rsidRDefault="00A85029">
      <w:pPr>
        <w:pStyle w:val="ConsPlusNormal"/>
        <w:ind w:firstLine="540"/>
        <w:jc w:val="both"/>
      </w:pPr>
      <w:r>
        <w:t>Изготовление, использование, хранение и уничтожение бланков и печатей с воспроизведением герба и флага городского округа осуществляется в порядке, установленном главой городского округа.</w:t>
      </w:r>
    </w:p>
    <w:p w:rsidR="00A85029" w:rsidRDefault="00A85029">
      <w:pPr>
        <w:pStyle w:val="ConsPlusNormal"/>
        <w:ind w:firstLine="540"/>
        <w:jc w:val="both"/>
      </w:pPr>
    </w:p>
    <w:p w:rsidR="00A85029" w:rsidRDefault="00A85029">
      <w:pPr>
        <w:pStyle w:val="ConsPlusNormal"/>
        <w:ind w:firstLine="540"/>
        <w:jc w:val="both"/>
        <w:outlineLvl w:val="1"/>
      </w:pPr>
      <w:r>
        <w:t>Статья 6. Ответственность за искажение изображения официальной символики</w:t>
      </w:r>
    </w:p>
    <w:p w:rsidR="00A85029" w:rsidRDefault="00A85029">
      <w:pPr>
        <w:pStyle w:val="ConsPlusNormal"/>
        <w:ind w:firstLine="540"/>
        <w:jc w:val="both"/>
      </w:pPr>
    </w:p>
    <w:p w:rsidR="00A85029" w:rsidRDefault="00A85029">
      <w:pPr>
        <w:pStyle w:val="ConsPlusNormal"/>
        <w:ind w:firstLine="540"/>
        <w:jc w:val="both"/>
      </w:pPr>
      <w:r>
        <w:t xml:space="preserve">За искажение герба и флага городского округа и надругательство над ними должностные лица и граждане несут административную ответственность в порядке, установленном </w:t>
      </w:r>
      <w:r>
        <w:lastRenderedPageBreak/>
        <w:t>законодательством.</w:t>
      </w:r>
    </w:p>
    <w:p w:rsidR="00A85029" w:rsidRDefault="00A85029">
      <w:pPr>
        <w:pStyle w:val="ConsPlusNormal"/>
        <w:ind w:firstLine="540"/>
        <w:jc w:val="both"/>
      </w:pPr>
    </w:p>
    <w:p w:rsidR="00A85029" w:rsidRDefault="00A85029">
      <w:pPr>
        <w:pStyle w:val="ConsPlusNormal"/>
        <w:ind w:firstLine="540"/>
        <w:jc w:val="both"/>
        <w:outlineLvl w:val="1"/>
      </w:pPr>
      <w:r>
        <w:t xml:space="preserve">Статья 7. </w:t>
      </w:r>
      <w:proofErr w:type="gramStart"/>
      <w:r>
        <w:t>Контроль за</w:t>
      </w:r>
      <w:proofErr w:type="gramEnd"/>
      <w:r>
        <w:t xml:space="preserve"> правильным использованием официальных символов</w:t>
      </w:r>
    </w:p>
    <w:p w:rsidR="00A85029" w:rsidRDefault="00A85029">
      <w:pPr>
        <w:pStyle w:val="ConsPlusNormal"/>
        <w:ind w:firstLine="540"/>
        <w:jc w:val="both"/>
      </w:pPr>
    </w:p>
    <w:p w:rsidR="00A85029" w:rsidRDefault="00A85029">
      <w:pPr>
        <w:pStyle w:val="ConsPlusNormal"/>
        <w:ind w:firstLine="540"/>
        <w:jc w:val="both"/>
      </w:pPr>
      <w:proofErr w:type="gramStart"/>
      <w:r>
        <w:t>Контроль за</w:t>
      </w:r>
      <w:proofErr w:type="gramEnd"/>
      <w:r>
        <w:t xml:space="preserve"> правильным использованием герба и флага городского округа и методическую помощь должностным лицам и гражданам в правильном их использовании осуществляет администрация городского округа.</w:t>
      </w:r>
    </w:p>
    <w:p w:rsidR="00A85029" w:rsidRDefault="00A85029">
      <w:pPr>
        <w:pStyle w:val="ConsPlusNormal"/>
        <w:ind w:firstLine="540"/>
        <w:jc w:val="both"/>
      </w:pPr>
    </w:p>
    <w:p w:rsidR="00A85029" w:rsidRDefault="00A85029">
      <w:pPr>
        <w:pStyle w:val="ConsPlusNormal"/>
        <w:ind w:firstLine="540"/>
        <w:jc w:val="both"/>
      </w:pPr>
    </w:p>
    <w:p w:rsidR="00A85029" w:rsidRDefault="00A85029">
      <w:pPr>
        <w:pStyle w:val="ConsPlusNormal"/>
        <w:ind w:firstLine="540"/>
        <w:jc w:val="both"/>
      </w:pPr>
    </w:p>
    <w:p w:rsidR="00A85029" w:rsidRDefault="00A85029">
      <w:pPr>
        <w:pStyle w:val="ConsPlusNormal"/>
        <w:ind w:firstLine="540"/>
        <w:jc w:val="both"/>
      </w:pPr>
    </w:p>
    <w:p w:rsidR="00A85029" w:rsidRDefault="00A85029">
      <w:pPr>
        <w:pStyle w:val="ConsPlusNormal"/>
        <w:ind w:firstLine="540"/>
        <w:jc w:val="both"/>
      </w:pPr>
    </w:p>
    <w:p w:rsidR="00A85029" w:rsidRDefault="00A85029">
      <w:pPr>
        <w:pStyle w:val="ConsPlusNormal"/>
        <w:jc w:val="right"/>
        <w:outlineLvl w:val="0"/>
      </w:pPr>
      <w:r>
        <w:t>Приложение 2</w:t>
      </w:r>
    </w:p>
    <w:p w:rsidR="00A85029" w:rsidRDefault="00A85029">
      <w:pPr>
        <w:pStyle w:val="ConsPlusNormal"/>
        <w:jc w:val="right"/>
      </w:pPr>
      <w:r>
        <w:t>к решению</w:t>
      </w:r>
    </w:p>
    <w:p w:rsidR="00A85029" w:rsidRDefault="00A85029">
      <w:pPr>
        <w:pStyle w:val="ConsPlusNormal"/>
        <w:jc w:val="right"/>
      </w:pPr>
      <w:r>
        <w:t>Думы городского округа</w:t>
      </w:r>
    </w:p>
    <w:p w:rsidR="00A85029" w:rsidRDefault="00A85029">
      <w:pPr>
        <w:pStyle w:val="ConsPlusNormal"/>
        <w:jc w:val="right"/>
      </w:pPr>
      <w:r>
        <w:t>ЗАТО Большой Камень</w:t>
      </w:r>
    </w:p>
    <w:p w:rsidR="00A85029" w:rsidRDefault="00A85029">
      <w:pPr>
        <w:pStyle w:val="ConsPlusNormal"/>
        <w:jc w:val="right"/>
      </w:pPr>
      <w:r>
        <w:t>от 26.07.2007 N 45</w:t>
      </w:r>
    </w:p>
    <w:p w:rsidR="00A85029" w:rsidRDefault="00A85029">
      <w:pPr>
        <w:pStyle w:val="ConsPlusNormal"/>
        <w:ind w:firstLine="540"/>
        <w:jc w:val="both"/>
      </w:pPr>
    </w:p>
    <w:p w:rsidR="00A85029" w:rsidRDefault="00A85029">
      <w:pPr>
        <w:pStyle w:val="ConsPlusNormal"/>
        <w:ind w:firstLine="540"/>
        <w:jc w:val="both"/>
      </w:pPr>
      <w:r>
        <w:t>Не приводится. Данное приложение можно заказать по телефону: 242-56-00.</w:t>
      </w:r>
    </w:p>
    <w:p w:rsidR="00A85029" w:rsidRDefault="00A85029">
      <w:pPr>
        <w:pStyle w:val="ConsPlusNormal"/>
        <w:ind w:firstLine="540"/>
        <w:jc w:val="both"/>
      </w:pPr>
    </w:p>
    <w:p w:rsidR="00A85029" w:rsidRDefault="00A85029">
      <w:pPr>
        <w:pStyle w:val="ConsPlusNormal"/>
        <w:ind w:firstLine="540"/>
        <w:jc w:val="both"/>
      </w:pPr>
    </w:p>
    <w:p w:rsidR="00A85029" w:rsidRDefault="00A8502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C4B7B" w:rsidRDefault="00BC4B7B">
      <w:bookmarkStart w:id="0" w:name="_GoBack"/>
      <w:bookmarkEnd w:id="0"/>
    </w:p>
    <w:sectPr w:rsidR="00BC4B7B" w:rsidSect="00FB1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029"/>
    <w:rsid w:val="00A85029"/>
    <w:rsid w:val="00BC4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50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850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8502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50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850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8502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DBC47E594E80A016075C4A733D82A51A6AF1067853E9603612C04542E2399190864474534726A1A09F7943A28A4CE8BFD4B61DBECC26b6V4C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0DBC47E594E80A016075C4A733D82A51A6AF1067853E9603612C04542E2399190864466531F2AA2AED52801E9854CEFbAV3C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0DBC47E594E80A016075C4A733D82A51A6AF1067E52EC623C12C04542E2399190864474534726A2ABCC2105FCD31DA9F4D9B006A2CC2278AC75A6b5V7C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consultant.ru" TargetMode="External"/><Relationship Id="rId10" Type="http://schemas.openxmlformats.org/officeDocument/2006/relationships/hyperlink" Target="consultantplus://offline/ref=A0DBC47E594E80A016075C4A733D82A51A6AF1067853E9603612C04542E2399190864474534726A2A09F7943A28A4CE8BFD4B61DBECC26b6V4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0DBC47E594E80A016075C4A733D82A51A6AF1067853E9603612C04542E2399190864474534726A2ABCB2805FCD31DA9F4D9B006A2CC2278AC75A6b5V7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1932</Words>
  <Characters>11013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2022-06-05T02:21:00Z</dcterms:created>
  <dcterms:modified xsi:type="dcterms:W3CDTF">2022-06-05T02:21:00Z</dcterms:modified>
</cp:coreProperties>
</file>