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D05" w:rsidRDefault="00386D0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86D05" w:rsidRDefault="00386D05">
      <w:pPr>
        <w:pStyle w:val="ConsPlusNormal"/>
        <w:jc w:val="both"/>
        <w:outlineLvl w:val="0"/>
      </w:pPr>
    </w:p>
    <w:p w:rsidR="00386D05" w:rsidRDefault="00386D05">
      <w:pPr>
        <w:pStyle w:val="ConsPlusNormal"/>
        <w:jc w:val="both"/>
      </w:pPr>
      <w:r>
        <w:t>Зарегистрировано в Управлении Минюста РФ по Приморскому краю 24 января 2019 г. N RU253030002019001</w:t>
      </w:r>
    </w:p>
    <w:p w:rsidR="00386D05" w:rsidRDefault="00386D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6D05" w:rsidRDefault="00386D05">
      <w:pPr>
        <w:pStyle w:val="ConsPlusNormal"/>
        <w:jc w:val="both"/>
      </w:pPr>
    </w:p>
    <w:p w:rsidR="00386D05" w:rsidRDefault="00386D05">
      <w:pPr>
        <w:pStyle w:val="ConsPlusTitle"/>
        <w:jc w:val="center"/>
      </w:pPr>
      <w:r>
        <w:t>ДУМА ГОРОДСКОГО ОКРУГА БОЛЬШОЙ КАМЕНЬ</w:t>
      </w:r>
    </w:p>
    <w:p w:rsidR="00386D05" w:rsidRDefault="00386D05">
      <w:pPr>
        <w:pStyle w:val="ConsPlusTitle"/>
        <w:jc w:val="center"/>
      </w:pPr>
      <w:r>
        <w:t>ПРИМОРСКОГО КРАЯ</w:t>
      </w:r>
    </w:p>
    <w:p w:rsidR="00386D05" w:rsidRDefault="00386D05">
      <w:pPr>
        <w:pStyle w:val="ConsPlusTitle"/>
        <w:jc w:val="both"/>
      </w:pPr>
    </w:p>
    <w:p w:rsidR="00386D05" w:rsidRDefault="00386D05">
      <w:pPr>
        <w:pStyle w:val="ConsPlusTitle"/>
        <w:jc w:val="center"/>
      </w:pPr>
      <w:r>
        <w:t>РЕШЕНИЕ</w:t>
      </w:r>
    </w:p>
    <w:p w:rsidR="00386D05" w:rsidRDefault="00386D05">
      <w:pPr>
        <w:pStyle w:val="ConsPlusTitle"/>
        <w:jc w:val="center"/>
      </w:pPr>
      <w:r>
        <w:t>от 21 декабря 2018 г. N 148</w:t>
      </w:r>
    </w:p>
    <w:p w:rsidR="00386D05" w:rsidRDefault="00386D05">
      <w:pPr>
        <w:pStyle w:val="ConsPlusTitle"/>
        <w:jc w:val="both"/>
      </w:pPr>
    </w:p>
    <w:p w:rsidR="00386D05" w:rsidRDefault="00386D05">
      <w:pPr>
        <w:pStyle w:val="ConsPlusTitle"/>
        <w:jc w:val="center"/>
      </w:pPr>
      <w:r>
        <w:t>О ВНЕСЕНИИ ИЗМЕНЕНИЙ В УСТАВ</w:t>
      </w:r>
    </w:p>
    <w:p w:rsidR="00386D05" w:rsidRDefault="00386D05">
      <w:pPr>
        <w:pStyle w:val="ConsPlusTitle"/>
        <w:jc w:val="center"/>
      </w:pPr>
      <w:r>
        <w:t>ГОРОДСКОГО ОКРУГА БОЛЬШОЙ КАМЕНЬ</w:t>
      </w:r>
    </w:p>
    <w:p w:rsidR="00386D05" w:rsidRDefault="00386D05">
      <w:pPr>
        <w:pStyle w:val="ConsPlusNormal"/>
        <w:jc w:val="both"/>
      </w:pPr>
    </w:p>
    <w:p w:rsidR="00386D05" w:rsidRDefault="00386D05">
      <w:pPr>
        <w:pStyle w:val="ConsPlusNormal"/>
        <w:ind w:firstLine="540"/>
        <w:jc w:val="both"/>
      </w:pPr>
      <w:proofErr w:type="gramStart"/>
      <w:r>
        <w:t xml:space="preserve">В целях приведения </w:t>
      </w:r>
      <w:hyperlink r:id="rId6" w:history="1">
        <w:r>
          <w:rPr>
            <w:color w:val="0000FF"/>
          </w:rPr>
          <w:t>Устава</w:t>
        </w:r>
      </w:hyperlink>
      <w:r>
        <w:t xml:space="preserve"> городского округа Большой Камень в соответствие с действующим законодательством, вступлением в силу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18.04.2018 N 83-ФЗ "О внесении изменений в отдельные законодательные акты Российской Федерации по вопросам совершенствования организации местного самоуправления",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30.10.2018 N 387-ФЗ "О внесении изменений в статьи 2 и 28 Федерального закона "Об общих принципах организации местного самоуправления в</w:t>
      </w:r>
      <w:proofErr w:type="gramEnd"/>
      <w:r>
        <w:t xml:space="preserve"> Российской Федерации", руководствуясь </w:t>
      </w:r>
      <w:hyperlink r:id="rId9" w:history="1">
        <w:r>
          <w:rPr>
            <w:color w:val="0000FF"/>
          </w:rPr>
          <w:t>статьей 21</w:t>
        </w:r>
      </w:hyperlink>
      <w:r>
        <w:t xml:space="preserve"> Устава городского округа Большой Камень, Дума городского округа Большой Камень решила: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0" w:history="1">
        <w:r>
          <w:rPr>
            <w:color w:val="0000FF"/>
          </w:rPr>
          <w:t>Устав</w:t>
        </w:r>
      </w:hyperlink>
      <w:r>
        <w:t xml:space="preserve"> городского округа Большой Камень следующие изменения: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 xml:space="preserve">1) </w:t>
      </w:r>
      <w:hyperlink r:id="rId11" w:history="1">
        <w:r>
          <w:rPr>
            <w:color w:val="0000FF"/>
          </w:rPr>
          <w:t>пункт 24 части 1 статьи 4</w:t>
        </w:r>
      </w:hyperlink>
      <w:r>
        <w:t xml:space="preserve"> изложить в следующей редакции: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>"24)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</w:r>
      <w:proofErr w:type="gramStart"/>
      <w:r>
        <w:t>;"</w:t>
      </w:r>
      <w:proofErr w:type="gramEnd"/>
      <w:r>
        <w:t>;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 xml:space="preserve">2) в </w:t>
      </w:r>
      <w:hyperlink r:id="rId12" w:history="1">
        <w:r>
          <w:rPr>
            <w:color w:val="0000FF"/>
          </w:rPr>
          <w:t>части 1 статьи 6</w:t>
        </w:r>
      </w:hyperlink>
      <w:r>
        <w:t>: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 xml:space="preserve">а) </w:t>
      </w:r>
      <w:hyperlink r:id="rId13" w:history="1">
        <w:r>
          <w:rPr>
            <w:color w:val="0000FF"/>
          </w:rPr>
          <w:t>дополнить</w:t>
        </w:r>
      </w:hyperlink>
      <w:r>
        <w:t xml:space="preserve"> пунктом 4(1) следующего содержания: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>"4(1)) сход граждан</w:t>
      </w:r>
      <w:proofErr w:type="gramStart"/>
      <w:r>
        <w:t>;"</w:t>
      </w:r>
      <w:proofErr w:type="gramEnd"/>
      <w:r>
        <w:t>;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 xml:space="preserve">б) </w:t>
      </w:r>
      <w:hyperlink r:id="rId14" w:history="1">
        <w:r>
          <w:rPr>
            <w:color w:val="0000FF"/>
          </w:rPr>
          <w:t>дополнить</w:t>
        </w:r>
      </w:hyperlink>
      <w:r>
        <w:t xml:space="preserve"> пунктом 6(1) следующего содержания: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>"6(1)) староста сельского населенного пункта, входящего в состав городского округа</w:t>
      </w:r>
      <w:proofErr w:type="gramStart"/>
      <w:r>
        <w:t>;"</w:t>
      </w:r>
      <w:proofErr w:type="gramEnd"/>
      <w:r>
        <w:t>;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 xml:space="preserve">3) </w:t>
      </w:r>
      <w:hyperlink r:id="rId15" w:history="1">
        <w:r>
          <w:rPr>
            <w:color w:val="0000FF"/>
          </w:rPr>
          <w:t>дополнить</w:t>
        </w:r>
      </w:hyperlink>
      <w:r>
        <w:t xml:space="preserve"> статьей 10(1) следующего содержания: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>"Статья 10(1). Сход граждан</w:t>
      </w:r>
    </w:p>
    <w:p w:rsidR="00386D05" w:rsidRDefault="00386D05">
      <w:pPr>
        <w:pStyle w:val="ConsPlusNormal"/>
        <w:jc w:val="both"/>
      </w:pPr>
    </w:p>
    <w:p w:rsidR="00386D05" w:rsidRDefault="00386D05">
      <w:pPr>
        <w:pStyle w:val="ConsPlusNormal"/>
        <w:ind w:firstLine="540"/>
        <w:jc w:val="both"/>
      </w:pPr>
      <w:r>
        <w:t xml:space="preserve">1. В случаях, предусмотренных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сход граждан может проводиться: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>1) в населенном пункте, входящем в состав городского округа, по вопросу введения и использования средств самообложения граждан на территории данного населенного пункта;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>2)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lastRenderedPageBreak/>
        <w:t>2. Сход граждан правомочен при участии в нем более половины обладающих избирательном правом жителей населенного пункта. Решение схода считается принятым, если за него проголосовало более половины участников схода граждан.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>3. Порядок организации и проведения схода граждан определяется решением Думы городского округа</w:t>
      </w:r>
      <w:proofErr w:type="gramStart"/>
      <w:r>
        <w:t>.";</w:t>
      </w:r>
    </w:p>
    <w:p w:rsidR="00386D05" w:rsidRDefault="00386D05">
      <w:pPr>
        <w:pStyle w:val="ConsPlusNormal"/>
        <w:spacing w:before="220"/>
        <w:ind w:firstLine="540"/>
        <w:jc w:val="both"/>
      </w:pPr>
      <w:proofErr w:type="gramEnd"/>
      <w:r>
        <w:t xml:space="preserve">4) </w:t>
      </w:r>
      <w:hyperlink r:id="rId17" w:history="1">
        <w:r>
          <w:rPr>
            <w:color w:val="0000FF"/>
          </w:rPr>
          <w:t>дополнить</w:t>
        </w:r>
      </w:hyperlink>
      <w:r>
        <w:t xml:space="preserve"> статьей 12(1) следующего содержания: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>"Статья 12(1). Староста сельского населенного пункта</w:t>
      </w:r>
    </w:p>
    <w:p w:rsidR="00386D05" w:rsidRDefault="00386D05">
      <w:pPr>
        <w:pStyle w:val="ConsPlusNormal"/>
        <w:jc w:val="both"/>
      </w:pPr>
    </w:p>
    <w:p w:rsidR="00386D05" w:rsidRDefault="00386D05">
      <w:pPr>
        <w:pStyle w:val="ConsPlusNormal"/>
        <w:ind w:firstLine="540"/>
        <w:jc w:val="both"/>
      </w:pPr>
      <w:r>
        <w:t>1. Для организации взаимодействия органов местного самоуправления городского округа и жителей сельского населенного пункта при решении вопросов местного значения в сельском населенном пункте, расположенном в городском округе, может назначаться староста сельского населенного пункта.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>2. Староста сельского населенного пункта назначается Думой городского округа,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правом, сроком на 5 лет.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>3. 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 городского округа.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>4. Староста сельского населенного пункта для решения возложенных на него задач: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>4) содействует органам местного самоуправления городского округа в организации и проведении публичных слушаний и общественных обсуждений, обнародовании их результатов в сельском населенном пункте.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>5. Полномочия старосты сельского населенного пункта прекращаются досрочно по решению Думы городского округа, по представлению схода граждан сельского населенного пункта, а также в случаях, установленных пунктами 1, 4 - 9 части 3 статьи 25 настоящего Устава.";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 xml:space="preserve">5) в </w:t>
      </w:r>
      <w:hyperlink r:id="rId18" w:history="1">
        <w:r>
          <w:rPr>
            <w:color w:val="0000FF"/>
          </w:rPr>
          <w:t>части 5 статьи 13</w:t>
        </w:r>
      </w:hyperlink>
      <w:r>
        <w:t xml:space="preserve"> слова "по проектам и вопросам, указанным в части 4 настоящей статьи</w:t>
      </w:r>
      <w:proofErr w:type="gramStart"/>
      <w:r>
        <w:t>,"</w:t>
      </w:r>
      <w:proofErr w:type="gramEnd"/>
      <w:r>
        <w:t xml:space="preserve"> исключить;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 xml:space="preserve">6) </w:t>
      </w:r>
      <w:hyperlink r:id="rId19" w:history="1">
        <w:r>
          <w:rPr>
            <w:color w:val="0000FF"/>
          </w:rPr>
          <w:t>пункт 5.21 статьи 29</w:t>
        </w:r>
      </w:hyperlink>
      <w:r>
        <w:t xml:space="preserve"> изложить в следующей редакции: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 xml:space="preserve">"5.21. участие в организации деятельности по накоплению (в том числе раздельному </w:t>
      </w:r>
      <w:r>
        <w:lastRenderedPageBreak/>
        <w:t>накоплению), сбору, транспортированию, обработке, утилизации, обезвреживанию, захоронению твердых коммунальных отходов</w:t>
      </w:r>
      <w:proofErr w:type="gramStart"/>
      <w:r>
        <w:t>;"</w:t>
      </w:r>
      <w:proofErr w:type="gramEnd"/>
      <w:r>
        <w:t>.</w:t>
      </w:r>
    </w:p>
    <w:p w:rsidR="00386D05" w:rsidRDefault="00386D05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 после государственной регистрации.</w:t>
      </w:r>
    </w:p>
    <w:p w:rsidR="00386D05" w:rsidRDefault="00386D05">
      <w:pPr>
        <w:pStyle w:val="ConsPlusNormal"/>
        <w:jc w:val="both"/>
      </w:pPr>
    </w:p>
    <w:p w:rsidR="00386D05" w:rsidRDefault="00386D05">
      <w:pPr>
        <w:pStyle w:val="ConsPlusNormal"/>
        <w:jc w:val="right"/>
      </w:pPr>
      <w:r>
        <w:t>Председатель Думы</w:t>
      </w:r>
    </w:p>
    <w:p w:rsidR="00386D05" w:rsidRDefault="00386D05">
      <w:pPr>
        <w:pStyle w:val="ConsPlusNormal"/>
        <w:jc w:val="right"/>
      </w:pPr>
      <w:r>
        <w:t>А.В.КУЗНЕЦОВ</w:t>
      </w:r>
    </w:p>
    <w:p w:rsidR="00386D05" w:rsidRDefault="00386D05">
      <w:pPr>
        <w:pStyle w:val="ConsPlusNormal"/>
        <w:jc w:val="both"/>
      </w:pPr>
    </w:p>
    <w:p w:rsidR="00386D05" w:rsidRDefault="00386D05">
      <w:pPr>
        <w:pStyle w:val="ConsPlusNormal"/>
        <w:jc w:val="right"/>
      </w:pPr>
      <w:r>
        <w:t>Глава городского округа</w:t>
      </w:r>
    </w:p>
    <w:p w:rsidR="00386D05" w:rsidRDefault="00386D05">
      <w:pPr>
        <w:pStyle w:val="ConsPlusNormal"/>
        <w:jc w:val="right"/>
      </w:pPr>
      <w:r>
        <w:t>А.В.АНДРЮХИН</w:t>
      </w:r>
    </w:p>
    <w:p w:rsidR="00386D05" w:rsidRDefault="00386D05">
      <w:pPr>
        <w:pStyle w:val="ConsPlusNormal"/>
        <w:jc w:val="both"/>
      </w:pPr>
    </w:p>
    <w:p w:rsidR="00386D05" w:rsidRDefault="00386D05">
      <w:pPr>
        <w:pStyle w:val="ConsPlusNormal"/>
        <w:jc w:val="both"/>
      </w:pPr>
    </w:p>
    <w:p w:rsidR="00386D05" w:rsidRDefault="00386D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BE6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05"/>
    <w:rsid w:val="00025E63"/>
    <w:rsid w:val="0038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D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6D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6D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D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6D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6D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EDF9539A9A583DC7F367C00EBC96EF885C1E6B5FD78CB501CC86E19DCF6508736A3F613FA87AEC38FCF51BD8V6cBD" TargetMode="External"/><Relationship Id="rId13" Type="http://schemas.openxmlformats.org/officeDocument/2006/relationships/hyperlink" Target="consultantplus://offline/ref=37EDF9539A9A583DC7F379CD18D0C8E08B57496F57D781E4549980B6C29F635D212A61387CEA69ED3EE2F21FD362EF2756A249EAE2A883E6944C1374V1cAD" TargetMode="External"/><Relationship Id="rId18" Type="http://schemas.openxmlformats.org/officeDocument/2006/relationships/hyperlink" Target="consultantplus://offline/ref=37EDF9539A9A583DC7F379CD18D0C8E08B57496F57D781E4549980B6C29F635D212A61387CEA69ED3EE0F11ADF62EF2756A249EAE2A883E6944C1374V1cAD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37EDF9539A9A583DC7F367C00EBC96EF8955116251D48CB501CC86E19DCF6508736A3F613FA87AEC38FCF51BD8V6cBD" TargetMode="External"/><Relationship Id="rId12" Type="http://schemas.openxmlformats.org/officeDocument/2006/relationships/hyperlink" Target="consultantplus://offline/ref=37EDF9539A9A583DC7F379CD18D0C8E08B57496F57D781E4549980B6C29F635D212A61387CEA69ED3EE2F21FD362EF2756A249EAE2A883E6944C1374V1cAD" TargetMode="External"/><Relationship Id="rId17" Type="http://schemas.openxmlformats.org/officeDocument/2006/relationships/hyperlink" Target="consultantplus://offline/ref=37EDF9539A9A583DC7F379CD18D0C8E08B57496F57D781E4549980B6C29F635D212A61386EEA31E13EE4E91BDC77B97610VFc5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7EDF9539A9A583DC7F367C00EBC96EF885D176056D08CB501CC86E19DCF6508736A3F613FA87AEC38FCF51BD8V6cBD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EDF9539A9A583DC7F379CD18D0C8E08B57496F57D781E4549980B6C29F635D212A61386EEA31E13EE4E91BDC77B97610VFc5D" TargetMode="External"/><Relationship Id="rId11" Type="http://schemas.openxmlformats.org/officeDocument/2006/relationships/hyperlink" Target="consultantplus://offline/ref=37EDF9539A9A583DC7F379CD18D0C8E08B57496F57D781E4549980B6C29F635D212A61387CEA69ED3EE0F31CDC62EF2756A249EAE2A883E6944C1374V1cAD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37EDF9539A9A583DC7F379CD18D0C8E08B57496F57D781E4549980B6C29F635D212A61386EEA31E13EE4E91BDC77B97610VFc5D" TargetMode="External"/><Relationship Id="rId10" Type="http://schemas.openxmlformats.org/officeDocument/2006/relationships/hyperlink" Target="consultantplus://offline/ref=37EDF9539A9A583DC7F379CD18D0C8E08B57496F57D781E4549980B6C29F635D212A61386EEA31E13EE4E91BDC77B97610VFc5D" TargetMode="External"/><Relationship Id="rId19" Type="http://schemas.openxmlformats.org/officeDocument/2006/relationships/hyperlink" Target="consultantplus://offline/ref=37EDF9539A9A583DC7F379CD18D0C8E08B57496F57D781E4549980B6C29F635D212A61387CEA69ED3EE0F31CD262EF2756A249EAE2A883E6944C1374V1c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EDF9539A9A583DC7F379CD18D0C8E08B57496F57D781E4549980B6C29F635D212A61387CEA69ED3EE2F012D862EF2756A249EAE2A883E6944C1374V1cAD" TargetMode="External"/><Relationship Id="rId14" Type="http://schemas.openxmlformats.org/officeDocument/2006/relationships/hyperlink" Target="consultantplus://offline/ref=37EDF9539A9A583DC7F379CD18D0C8E08B57496F57D781E4549980B6C29F635D212A61387CEA69ED3EE2F21FD362EF2756A249EAE2A883E6944C1374V1c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2022-06-06T03:28:00Z</dcterms:created>
  <dcterms:modified xsi:type="dcterms:W3CDTF">2022-06-06T03:28:00Z</dcterms:modified>
</cp:coreProperties>
</file>